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048D" w14:textId="3B952DC8" w:rsidR="00505669" w:rsidRPr="008C502E" w:rsidRDefault="004C5B46" w:rsidP="00034C78">
      <w:pPr>
        <w:pBdr>
          <w:bottom w:val="single" w:sz="8" w:space="1" w:color="auto"/>
        </w:pBdr>
        <w:ind w:left="-270"/>
        <w:jc w:val="right"/>
        <w:rPr>
          <w:rFonts w:cstheme="minorHAnsi"/>
          <w:b/>
          <w:sz w:val="16"/>
          <w:lang w:val="es-ES"/>
        </w:rPr>
      </w:pPr>
      <w:r w:rsidRPr="008C502E">
        <w:rPr>
          <w:rFonts w:cstheme="minorHAnsi"/>
          <w:b/>
          <w:sz w:val="16"/>
          <w:lang w:val="es-ES"/>
        </w:rPr>
        <w:t>7/22</w:t>
      </w:r>
      <w:r w:rsidR="002E576C" w:rsidRPr="008C502E">
        <w:rPr>
          <w:rFonts w:cstheme="minorHAnsi"/>
          <w:b/>
          <w:sz w:val="16"/>
          <w:lang w:val="es-ES"/>
        </w:rPr>
        <w:t>/2024</w:t>
      </w:r>
      <w:r w:rsidR="00505669" w:rsidRPr="008C502E">
        <w:rPr>
          <w:rFonts w:cstheme="minorHAnsi"/>
          <w:b/>
          <w:sz w:val="16"/>
          <w:lang w:val="es-ES"/>
        </w:rPr>
        <w:t xml:space="preserve"> </w:t>
      </w:r>
    </w:p>
    <w:p w14:paraId="0DF44E76" w14:textId="3F90BFC1" w:rsidR="00073622" w:rsidRPr="008C502E" w:rsidRDefault="00DE3A33" w:rsidP="00945A70">
      <w:pPr>
        <w:rPr>
          <w:rFonts w:cstheme="minorHAnsi"/>
          <w:b/>
          <w:sz w:val="32"/>
          <w:szCs w:val="32"/>
          <w:lang w:val="es-ES"/>
        </w:rPr>
      </w:pPr>
      <w:proofErr w:type="gramStart"/>
      <w:r w:rsidRPr="008C502E">
        <w:rPr>
          <w:rFonts w:cstheme="minorHAnsi"/>
          <w:b/>
          <w:sz w:val="32"/>
          <w:szCs w:val="32"/>
          <w:lang w:val="es-ES"/>
        </w:rPr>
        <w:t>Vivid</w:t>
      </w:r>
      <w:proofErr w:type="gramEnd"/>
      <w:r w:rsidRPr="008C502E">
        <w:rPr>
          <w:rFonts w:cstheme="minorHAnsi"/>
          <w:b/>
          <w:sz w:val="32"/>
          <w:szCs w:val="32"/>
          <w:lang w:val="es-ES"/>
        </w:rPr>
        <w:t xml:space="preserve"> Red Ruby Extreme Color</w:t>
      </w:r>
    </w:p>
    <w:p w14:paraId="7072AB01" w14:textId="5D07B1CE" w:rsidR="00073622" w:rsidRPr="00861BB9" w:rsidRDefault="00583784" w:rsidP="00B06170">
      <w:pPr>
        <w:tabs>
          <w:tab w:val="left" w:pos="7880"/>
        </w:tabs>
        <w:rPr>
          <w:rFonts w:cstheme="minorHAnsi"/>
          <w:b/>
          <w:color w:val="0078AE"/>
          <w:szCs w:val="18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EA68D8" wp14:editId="6F4F1215">
            <wp:simplePos x="0" y="0"/>
            <wp:positionH relativeFrom="column">
              <wp:posOffset>4797425</wp:posOffset>
            </wp:positionH>
            <wp:positionV relativeFrom="paragraph">
              <wp:posOffset>316230</wp:posOffset>
            </wp:positionV>
            <wp:extent cx="2000250" cy="2139315"/>
            <wp:effectExtent l="0" t="0" r="0" b="0"/>
            <wp:wrapTight wrapText="bothSides">
              <wp:wrapPolygon edited="0">
                <wp:start x="0" y="0"/>
                <wp:lineTo x="0" y="21350"/>
                <wp:lineTo x="21394" y="21350"/>
                <wp:lineTo x="21394" y="0"/>
                <wp:lineTo x="0" y="0"/>
              </wp:wrapPolygon>
            </wp:wrapTight>
            <wp:docPr id="5953641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A33" w:rsidRPr="00861BB9">
        <w:rPr>
          <w:rFonts w:cstheme="minorHAnsi"/>
          <w:b/>
          <w:sz w:val="32"/>
          <w:szCs w:val="32"/>
        </w:rPr>
        <w:t>T4850 V</w:t>
      </w:r>
      <w:r w:rsidR="00861BB9" w:rsidRPr="00861BB9">
        <w:rPr>
          <w:rFonts w:cstheme="minorHAnsi"/>
          <w:b/>
          <w:sz w:val="32"/>
          <w:szCs w:val="32"/>
        </w:rPr>
        <w:t>ivid Red</w:t>
      </w:r>
      <w:r w:rsidR="00861BB9">
        <w:rPr>
          <w:rFonts w:cstheme="minorHAnsi"/>
          <w:b/>
          <w:sz w:val="32"/>
          <w:szCs w:val="32"/>
        </w:rPr>
        <w:t xml:space="preserve"> Ruby Toner and T4800 </w:t>
      </w:r>
      <w:proofErr w:type="spellStart"/>
      <w:r w:rsidR="00861BB9">
        <w:rPr>
          <w:rFonts w:cstheme="minorHAnsi"/>
          <w:b/>
          <w:sz w:val="32"/>
          <w:szCs w:val="32"/>
        </w:rPr>
        <w:t>Midcoat</w:t>
      </w:r>
      <w:proofErr w:type="spellEnd"/>
      <w:r w:rsidR="00861BB9">
        <w:rPr>
          <w:rFonts w:cstheme="minorHAnsi"/>
          <w:b/>
          <w:sz w:val="32"/>
          <w:szCs w:val="32"/>
        </w:rPr>
        <w:t xml:space="preserve"> Clear</w:t>
      </w:r>
      <w:r w:rsidR="00DD787F" w:rsidRPr="00861BB9">
        <w:rPr>
          <w:rFonts w:cstheme="minorHAnsi"/>
          <w:b/>
          <w:sz w:val="32"/>
          <w:szCs w:val="32"/>
        </w:rPr>
        <w:tab/>
      </w:r>
    </w:p>
    <w:p w14:paraId="3A858F70" w14:textId="0285AB42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  <w:bookmarkStart w:id="0" w:name="_Hlk172285670"/>
      <w:r w:rsidRPr="008B5D40">
        <w:rPr>
          <w:rFonts w:eastAsiaTheme="minorHAnsi" w:cstheme="minorHAnsi"/>
          <w:b/>
          <w:color w:val="0078AE"/>
          <w:szCs w:val="18"/>
        </w:rPr>
        <w:t>Product Information:</w:t>
      </w:r>
    </w:p>
    <w:bookmarkEnd w:id="0"/>
    <w:p w14:paraId="7480E3F5" w14:textId="1FF677C9" w:rsidR="00C50F05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  <w:r w:rsidRPr="00F669A8">
        <w:rPr>
          <w:rFonts w:eastAsiaTheme="minorHAnsi" w:cstheme="minorHAnsi"/>
          <w:b/>
          <w:bCs/>
          <w:szCs w:val="18"/>
        </w:rPr>
        <w:t>PPG Extreme Color</w:t>
      </w:r>
      <w:r>
        <w:rPr>
          <w:rFonts w:eastAsiaTheme="minorHAnsi" w:cstheme="minorHAnsi"/>
          <w:szCs w:val="18"/>
        </w:rPr>
        <w:t xml:space="preserve"> presents an easier way for collision body shops to match today’s popular OEM colors with no tinted clearcoat required.  As part of our Envirobase® High Performance waterborne paint system, the </w:t>
      </w:r>
      <w:r w:rsidRPr="00D52A97">
        <w:rPr>
          <w:rFonts w:eastAsiaTheme="minorHAnsi" w:cstheme="minorHAnsi"/>
          <w:b/>
          <w:bCs/>
          <w:szCs w:val="18"/>
        </w:rPr>
        <w:t>Vivid Red Ruby Toner</w:t>
      </w:r>
      <w:r>
        <w:rPr>
          <w:rFonts w:eastAsiaTheme="minorHAnsi" w:cstheme="minorHAnsi"/>
          <w:b/>
          <w:bCs/>
          <w:szCs w:val="18"/>
        </w:rPr>
        <w:t xml:space="preserve"> </w:t>
      </w:r>
      <w:r w:rsidRPr="00A01610">
        <w:rPr>
          <w:rFonts w:eastAsiaTheme="minorHAnsi" w:cstheme="minorHAnsi"/>
          <w:szCs w:val="18"/>
        </w:rPr>
        <w:t>and</w:t>
      </w:r>
      <w:r>
        <w:rPr>
          <w:rFonts w:eastAsiaTheme="minorHAnsi" w:cstheme="minorHAnsi"/>
          <w:b/>
          <w:bCs/>
          <w:szCs w:val="18"/>
        </w:rPr>
        <w:t xml:space="preserve"> </w:t>
      </w:r>
      <w:proofErr w:type="spellStart"/>
      <w:r>
        <w:rPr>
          <w:rFonts w:eastAsiaTheme="minorHAnsi" w:cstheme="minorHAnsi"/>
          <w:b/>
          <w:bCs/>
          <w:szCs w:val="18"/>
        </w:rPr>
        <w:t>Midcoat</w:t>
      </w:r>
      <w:proofErr w:type="spellEnd"/>
      <w:r>
        <w:rPr>
          <w:rFonts w:eastAsiaTheme="minorHAnsi" w:cstheme="minorHAnsi"/>
          <w:b/>
          <w:bCs/>
          <w:szCs w:val="18"/>
        </w:rPr>
        <w:t xml:space="preserve"> Clear</w:t>
      </w:r>
      <w:r>
        <w:rPr>
          <w:rFonts w:eastAsiaTheme="minorHAnsi" w:cstheme="minorHAnsi"/>
          <w:szCs w:val="18"/>
        </w:rPr>
        <w:t xml:space="preserve"> make it possible to achieve greater color performance, improved efficiency, and easier application with a full waterborne tri-coat process.</w:t>
      </w:r>
    </w:p>
    <w:p w14:paraId="0FB62FC8" w14:textId="77777777" w:rsidR="00C50F05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</w:p>
    <w:p w14:paraId="5B53D635" w14:textId="27AE03FE" w:rsidR="00C50F05" w:rsidRPr="008B5D40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  <w:r w:rsidRPr="00454095">
        <w:rPr>
          <w:rFonts w:eastAsiaTheme="minorHAnsi" w:cstheme="minorHAnsi"/>
          <w:b/>
          <w:bCs/>
          <w:szCs w:val="18"/>
        </w:rPr>
        <w:t>T4850 Vivid Red Ruby</w:t>
      </w:r>
      <w:r>
        <w:rPr>
          <w:rFonts w:eastAsiaTheme="minorHAnsi" w:cstheme="minorHAnsi"/>
          <w:szCs w:val="18"/>
        </w:rPr>
        <w:t xml:space="preserve"> is being launched as a new toner to enhance the overall color capability of the Envirobase® High Performance color platform.  The pigment utilized in this toner is particularly intense in the red color space and provides superior transparency and chromaticity.</w:t>
      </w:r>
    </w:p>
    <w:p w14:paraId="3A4DA531" w14:textId="54843214" w:rsidR="00C50F05" w:rsidRPr="008B5D40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</w:p>
    <w:p w14:paraId="2BBF4214" w14:textId="11614E16" w:rsidR="006730CB" w:rsidRPr="008B5D40" w:rsidRDefault="006730CB" w:rsidP="006730CB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  <w:r>
        <w:rPr>
          <w:rFonts w:eastAsiaTheme="minorHAnsi" w:cstheme="minorHAnsi"/>
          <w:b/>
          <w:color w:val="0078AE"/>
          <w:szCs w:val="18"/>
        </w:rPr>
        <w:t>Color</w:t>
      </w:r>
      <w:r w:rsidRPr="008B5D40">
        <w:rPr>
          <w:rFonts w:eastAsiaTheme="minorHAnsi" w:cstheme="minorHAnsi"/>
          <w:b/>
          <w:color w:val="0078AE"/>
          <w:szCs w:val="18"/>
        </w:rPr>
        <w:t xml:space="preserve"> Information:</w:t>
      </w:r>
    </w:p>
    <w:p w14:paraId="24F905B8" w14:textId="6A11A0D3" w:rsidR="00C50F05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  <w:r>
        <w:rPr>
          <w:rFonts w:eastAsiaTheme="minorHAnsi" w:cstheme="minorHAnsi"/>
          <w:color w:val="000000"/>
          <w:szCs w:val="18"/>
        </w:rPr>
        <w:t xml:space="preserve">The addition of </w:t>
      </w:r>
      <w:r w:rsidRPr="00523F3B">
        <w:rPr>
          <w:rFonts w:eastAsiaTheme="minorHAnsi" w:cstheme="minorHAnsi"/>
          <w:b/>
          <w:bCs/>
          <w:color w:val="000000"/>
          <w:szCs w:val="18"/>
        </w:rPr>
        <w:t>T4850 Vivid Red Ruby</w:t>
      </w:r>
      <w:r>
        <w:rPr>
          <w:rFonts w:eastAsiaTheme="minorHAnsi" w:cstheme="minorHAnsi"/>
          <w:color w:val="000000"/>
          <w:szCs w:val="18"/>
        </w:rPr>
        <w:t xml:space="preserve"> and </w:t>
      </w:r>
      <w:r w:rsidRPr="00523F3B">
        <w:rPr>
          <w:rFonts w:eastAsiaTheme="minorHAnsi" w:cstheme="minorHAnsi"/>
          <w:b/>
          <w:bCs/>
          <w:color w:val="000000"/>
          <w:szCs w:val="18"/>
        </w:rPr>
        <w:t xml:space="preserve">T4800 </w:t>
      </w:r>
      <w:proofErr w:type="spellStart"/>
      <w:r>
        <w:rPr>
          <w:rFonts w:eastAsiaTheme="minorHAnsi" w:cstheme="minorHAnsi"/>
          <w:b/>
          <w:bCs/>
          <w:color w:val="000000"/>
          <w:szCs w:val="18"/>
        </w:rPr>
        <w:t>Midcoat</w:t>
      </w:r>
      <w:proofErr w:type="spellEnd"/>
      <w:r>
        <w:rPr>
          <w:rFonts w:eastAsiaTheme="minorHAnsi" w:cstheme="minorHAnsi"/>
          <w:b/>
          <w:bCs/>
          <w:color w:val="000000"/>
          <w:szCs w:val="18"/>
        </w:rPr>
        <w:t xml:space="preserve"> Clear</w:t>
      </w:r>
      <w:r>
        <w:rPr>
          <w:rFonts w:eastAsiaTheme="minorHAnsi" w:cstheme="minorHAnsi"/>
          <w:color w:val="000000"/>
          <w:szCs w:val="18"/>
        </w:rPr>
        <w:t xml:space="preserve"> to the mixing system offers a clean and vivid red color space, improving the color capability of the Envirobase® High Performance system and aligning to current and future OEM stylings.</w:t>
      </w:r>
    </w:p>
    <w:p w14:paraId="005D251C" w14:textId="77777777" w:rsidR="00C50F05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</w:p>
    <w:p w14:paraId="30DC91B5" w14:textId="1D8F8213" w:rsidR="008B5D40" w:rsidRPr="008B5D40" w:rsidRDefault="00C50F05" w:rsidP="00C50F05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szCs w:val="18"/>
        </w:rPr>
      </w:pPr>
      <w:r w:rsidRPr="00D6746D">
        <w:rPr>
          <w:rFonts w:eastAsiaTheme="minorHAnsi" w:cstheme="minorHAnsi"/>
          <w:b/>
          <w:bCs/>
          <w:color w:val="000000"/>
          <w:szCs w:val="18"/>
        </w:rPr>
        <w:t>T4850</w:t>
      </w:r>
      <w:r>
        <w:rPr>
          <w:rFonts w:eastAsiaTheme="minorHAnsi" w:cstheme="minorHAnsi"/>
          <w:color w:val="000000"/>
          <w:szCs w:val="18"/>
        </w:rPr>
        <w:t xml:space="preserve"> along wit</w:t>
      </w:r>
      <w:r w:rsidR="0024563F">
        <w:rPr>
          <w:rFonts w:eastAsiaTheme="minorHAnsi" w:cstheme="minorHAnsi"/>
          <w:color w:val="000000"/>
          <w:szCs w:val="18"/>
        </w:rPr>
        <w:t xml:space="preserve">h </w:t>
      </w:r>
      <w:r w:rsidRPr="00D6746D">
        <w:rPr>
          <w:rFonts w:eastAsiaTheme="minorHAnsi" w:cstheme="minorHAnsi"/>
          <w:b/>
          <w:bCs/>
          <w:color w:val="000000"/>
          <w:szCs w:val="18"/>
        </w:rPr>
        <w:t>T4800</w:t>
      </w:r>
      <w:r>
        <w:rPr>
          <w:rFonts w:eastAsiaTheme="minorHAnsi" w:cstheme="minorHAnsi"/>
          <w:color w:val="000000"/>
          <w:szCs w:val="18"/>
        </w:rPr>
        <w:t xml:space="preserve"> is designed to replace T4343 HC Organic Red </w:t>
      </w:r>
      <w:r w:rsidR="008D5278">
        <w:rPr>
          <w:rFonts w:eastAsiaTheme="minorHAnsi" w:cstheme="minorHAnsi"/>
          <w:color w:val="000000"/>
          <w:szCs w:val="18"/>
        </w:rPr>
        <w:t>a</w:t>
      </w:r>
      <w:r w:rsidR="00DF7A1C">
        <w:rPr>
          <w:rFonts w:eastAsiaTheme="minorHAnsi" w:cstheme="minorHAnsi"/>
          <w:color w:val="000000"/>
          <w:szCs w:val="18"/>
        </w:rPr>
        <w:t xml:space="preserve">nd </w:t>
      </w:r>
      <w:r w:rsidR="00302D1F">
        <w:rPr>
          <w:rFonts w:eastAsiaTheme="minorHAnsi" w:cstheme="minorHAnsi"/>
          <w:color w:val="000000"/>
          <w:szCs w:val="18"/>
        </w:rPr>
        <w:t xml:space="preserve">the </w:t>
      </w:r>
      <w:r>
        <w:rPr>
          <w:rFonts w:eastAsiaTheme="minorHAnsi" w:cstheme="minorHAnsi"/>
          <w:color w:val="000000"/>
          <w:szCs w:val="18"/>
        </w:rPr>
        <w:t xml:space="preserve">tinted clear process using VM4350 Vivid Ruby Tinter, allowing for color matching with standard </w:t>
      </w:r>
      <w:proofErr w:type="spellStart"/>
      <w:r>
        <w:rPr>
          <w:rFonts w:eastAsiaTheme="minorHAnsi" w:cstheme="minorHAnsi"/>
          <w:color w:val="000000"/>
          <w:szCs w:val="18"/>
        </w:rPr>
        <w:t>midcoat</w:t>
      </w:r>
      <w:proofErr w:type="spellEnd"/>
      <w:r>
        <w:rPr>
          <w:rFonts w:eastAsiaTheme="minorHAnsi" w:cstheme="minorHAnsi"/>
          <w:color w:val="000000"/>
          <w:szCs w:val="18"/>
        </w:rPr>
        <w:t xml:space="preserve"> application processes and simplifying the overall repair </w:t>
      </w:r>
      <w:r w:rsidR="00302D1F">
        <w:rPr>
          <w:rFonts w:eastAsiaTheme="minorHAnsi" w:cstheme="minorHAnsi"/>
          <w:szCs w:val="18"/>
        </w:rPr>
        <w:t>process</w:t>
      </w:r>
      <w:r w:rsidR="00FE746D">
        <w:rPr>
          <w:rFonts w:eastAsiaTheme="minorHAnsi" w:cstheme="minorHAnsi"/>
          <w:szCs w:val="18"/>
        </w:rPr>
        <w:t xml:space="preserve"> of these extreme red colors.</w:t>
      </w:r>
    </w:p>
    <w:p w14:paraId="18CE9FC7" w14:textId="1EAF7BB0" w:rsid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</w:p>
    <w:p w14:paraId="535198F0" w14:textId="77777777" w:rsidR="006730CB" w:rsidRPr="009D76E1" w:rsidRDefault="006730CB" w:rsidP="006730CB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4F81BD" w:themeColor="accent1"/>
          <w:szCs w:val="18"/>
          <w:u w:val="single"/>
        </w:rPr>
      </w:pPr>
      <w:r>
        <w:rPr>
          <w:rFonts w:eastAsiaTheme="minorHAnsi" w:cstheme="minorHAnsi"/>
          <w:color w:val="000000"/>
          <w:szCs w:val="18"/>
        </w:rPr>
        <w:t xml:space="preserve">The following formulas have been matched using </w:t>
      </w:r>
      <w:r w:rsidRPr="00D6746D">
        <w:rPr>
          <w:rFonts w:eastAsiaTheme="minorHAnsi" w:cstheme="minorHAnsi"/>
          <w:b/>
          <w:bCs/>
          <w:color w:val="000000"/>
          <w:szCs w:val="18"/>
        </w:rPr>
        <w:t>T4850:</w:t>
      </w:r>
      <w:r>
        <w:rPr>
          <w:rFonts w:eastAsiaTheme="minorHAnsi" w:cstheme="minorHAnsi"/>
          <w:color w:val="000000"/>
          <w:szCs w:val="18"/>
        </w:rPr>
        <w:t xml:space="preserve">  </w:t>
      </w:r>
      <w:hyperlink r:id="rId9" w:history="1">
        <w:r>
          <w:rPr>
            <w:rStyle w:val="Hyperlink"/>
            <w:rFonts w:eastAsiaTheme="minorHAnsi" w:cstheme="minorHAnsi"/>
            <w:szCs w:val="18"/>
          </w:rPr>
          <w:t>link t</w:t>
        </w:r>
        <w:r>
          <w:rPr>
            <w:rStyle w:val="Hyperlink"/>
            <w:rFonts w:eastAsiaTheme="minorHAnsi" w:cstheme="minorHAnsi"/>
            <w:szCs w:val="18"/>
          </w:rPr>
          <w:t>o</w:t>
        </w:r>
        <w:r>
          <w:rPr>
            <w:rStyle w:val="Hyperlink"/>
            <w:rFonts w:eastAsiaTheme="minorHAnsi" w:cstheme="minorHAnsi"/>
            <w:szCs w:val="18"/>
          </w:rPr>
          <w:t xml:space="preserve"> file</w:t>
        </w:r>
      </w:hyperlink>
    </w:p>
    <w:p w14:paraId="7802DFB0" w14:textId="77777777" w:rsidR="009B572F" w:rsidRDefault="009B572F" w:rsidP="008B5D40">
      <w:pPr>
        <w:widowControl w:val="0"/>
        <w:tabs>
          <w:tab w:val="left" w:pos="2360"/>
          <w:tab w:val="left" w:pos="4600"/>
          <w:tab w:val="left" w:pos="67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</w:p>
    <w:p w14:paraId="4F9C03C6" w14:textId="77777777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78AE"/>
          <w:szCs w:val="18"/>
        </w:rPr>
      </w:pPr>
    </w:p>
    <w:p w14:paraId="2F49B473" w14:textId="77777777" w:rsidR="008B5D40" w:rsidRPr="008B5D40" w:rsidRDefault="008B5D40" w:rsidP="008B5D40">
      <w:pPr>
        <w:widowControl w:val="0"/>
        <w:tabs>
          <w:tab w:val="left" w:pos="2360"/>
          <w:tab w:val="left" w:pos="4600"/>
          <w:tab w:val="left" w:pos="6760"/>
        </w:tabs>
        <w:autoSpaceDE w:val="0"/>
        <w:autoSpaceDN w:val="0"/>
        <w:adjustRightInd w:val="0"/>
        <w:spacing w:after="0" w:line="240" w:lineRule="auto"/>
        <w:textAlignment w:val="center"/>
        <w:rPr>
          <w:rFonts w:eastAsiaTheme="minorHAnsi" w:cstheme="minorHAnsi"/>
          <w:color w:val="000000"/>
          <w:szCs w:val="18"/>
        </w:rPr>
      </w:pPr>
      <w:r w:rsidRPr="008B5D40">
        <w:rPr>
          <w:rFonts w:eastAsiaTheme="minorHAnsi" w:cstheme="minorHAnsi"/>
          <w:b/>
          <w:color w:val="0078AE"/>
          <w:szCs w:val="18"/>
        </w:rPr>
        <w:t>Ordering Information:</w:t>
      </w:r>
    </w:p>
    <w:p w14:paraId="062A1743" w14:textId="15C9A4B9" w:rsidR="008B5D40" w:rsidRPr="00440C2E" w:rsidRDefault="008B5D40" w:rsidP="00945A70">
      <w:pPr>
        <w:spacing w:after="0" w:line="240" w:lineRule="auto"/>
        <w:rPr>
          <w:rFonts w:cstheme="minorHAnsi"/>
          <w:sz w:val="14"/>
          <w:szCs w:val="14"/>
        </w:rPr>
      </w:pPr>
      <w:r w:rsidRPr="008B5D40">
        <w:rPr>
          <w:rFonts w:cstheme="minorHAnsi"/>
          <w:sz w:val="14"/>
          <w:szCs w:val="14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30"/>
        <w:gridCol w:w="2250"/>
        <w:gridCol w:w="2430"/>
      </w:tblGrid>
      <w:tr w:rsidR="00657214" w14:paraId="7282C6F6" w14:textId="12EAC412" w:rsidTr="009B572F">
        <w:tc>
          <w:tcPr>
            <w:tcW w:w="1530" w:type="dxa"/>
          </w:tcPr>
          <w:p w14:paraId="3A6810DE" w14:textId="0CC58400" w:rsidR="00657214" w:rsidRPr="000C12F7" w:rsidRDefault="00657214" w:rsidP="00657214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Code:</w:t>
            </w:r>
          </w:p>
        </w:tc>
        <w:tc>
          <w:tcPr>
            <w:tcW w:w="2250" w:type="dxa"/>
          </w:tcPr>
          <w:p w14:paraId="455BEC3D" w14:textId="46D73939" w:rsidR="00657214" w:rsidRPr="000C12F7" w:rsidRDefault="00657214" w:rsidP="00657214">
            <w:pPr>
              <w:rPr>
                <w:rFonts w:cstheme="minorHAnsi"/>
                <w:szCs w:val="16"/>
              </w:rPr>
            </w:pPr>
            <w:r w:rsidRPr="008A0C0A">
              <w:rPr>
                <w:rFonts w:cstheme="minorHAnsi"/>
                <w:szCs w:val="16"/>
              </w:rPr>
              <w:t>T4850</w:t>
            </w:r>
          </w:p>
        </w:tc>
        <w:tc>
          <w:tcPr>
            <w:tcW w:w="2430" w:type="dxa"/>
          </w:tcPr>
          <w:p w14:paraId="5370A2EE" w14:textId="49BB2922" w:rsidR="00657214" w:rsidRPr="000C12F7" w:rsidRDefault="00657214" w:rsidP="00657214">
            <w:pPr>
              <w:rPr>
                <w:rFonts w:cstheme="minorHAnsi"/>
                <w:szCs w:val="16"/>
              </w:rPr>
            </w:pPr>
            <w:r w:rsidRPr="008A0C0A">
              <w:rPr>
                <w:rFonts w:cstheme="minorHAnsi"/>
                <w:szCs w:val="16"/>
              </w:rPr>
              <w:t>T4800</w:t>
            </w:r>
          </w:p>
        </w:tc>
      </w:tr>
      <w:tr w:rsidR="00657214" w14:paraId="3C9FF08D" w14:textId="1978A5CF" w:rsidTr="009B572F">
        <w:tc>
          <w:tcPr>
            <w:tcW w:w="1530" w:type="dxa"/>
          </w:tcPr>
          <w:p w14:paraId="1E17AD4D" w14:textId="6EA628CF" w:rsidR="00657214" w:rsidRPr="000C12F7" w:rsidRDefault="00657214" w:rsidP="00657214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Description</w:t>
            </w:r>
            <w:r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2250" w:type="dxa"/>
          </w:tcPr>
          <w:p w14:paraId="0D602609" w14:textId="2C25C6A2" w:rsidR="00657214" w:rsidRPr="000C12F7" w:rsidRDefault="00657214" w:rsidP="00657214">
            <w:pPr>
              <w:rPr>
                <w:rFonts w:cstheme="minorHAnsi"/>
                <w:szCs w:val="16"/>
              </w:rPr>
            </w:pPr>
            <w:r w:rsidRPr="004A7F6D">
              <w:rPr>
                <w:rFonts w:ascii="Calibri" w:hAnsi="Calibri" w:cs="Calibri"/>
                <w:szCs w:val="16"/>
              </w:rPr>
              <w:t>Vivid Red Ruby</w:t>
            </w:r>
          </w:p>
        </w:tc>
        <w:tc>
          <w:tcPr>
            <w:tcW w:w="2430" w:type="dxa"/>
          </w:tcPr>
          <w:p w14:paraId="447DC4E0" w14:textId="4042010E" w:rsidR="00657214" w:rsidRPr="000C12F7" w:rsidRDefault="00657214" w:rsidP="00657214">
            <w:pPr>
              <w:rPr>
                <w:rFonts w:cstheme="minorHAnsi"/>
                <w:szCs w:val="16"/>
              </w:rPr>
            </w:pPr>
            <w:proofErr w:type="spellStart"/>
            <w:r>
              <w:rPr>
                <w:rFonts w:ascii="Calibri" w:hAnsi="Calibri" w:cs="Calibri"/>
                <w:szCs w:val="16"/>
              </w:rPr>
              <w:t>Midcoat</w:t>
            </w:r>
            <w:proofErr w:type="spellEnd"/>
            <w:r>
              <w:rPr>
                <w:rFonts w:ascii="Calibri" w:hAnsi="Calibri" w:cs="Calibri"/>
                <w:szCs w:val="16"/>
              </w:rPr>
              <w:t xml:space="preserve"> Clea</w:t>
            </w:r>
            <w:r w:rsidRPr="004A7F6D">
              <w:rPr>
                <w:rFonts w:ascii="Calibri" w:hAnsi="Calibri" w:cs="Calibri"/>
                <w:szCs w:val="16"/>
              </w:rPr>
              <w:t>r</w:t>
            </w:r>
          </w:p>
        </w:tc>
      </w:tr>
      <w:tr w:rsidR="00657214" w14:paraId="675DE455" w14:textId="7BFD6D94" w:rsidTr="009B572F">
        <w:tc>
          <w:tcPr>
            <w:tcW w:w="1530" w:type="dxa"/>
          </w:tcPr>
          <w:p w14:paraId="5EDC1D6C" w14:textId="77788F32" w:rsidR="00657214" w:rsidRPr="000C12F7" w:rsidRDefault="00657214" w:rsidP="00657214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Item Number</w:t>
            </w:r>
            <w:r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2250" w:type="dxa"/>
          </w:tcPr>
          <w:p w14:paraId="3D61AE06" w14:textId="3F2F4583" w:rsidR="00657214" w:rsidRPr="000C12F7" w:rsidRDefault="00657214" w:rsidP="00657214">
            <w:pPr>
              <w:rPr>
                <w:rFonts w:cstheme="minorHAnsi"/>
                <w:szCs w:val="16"/>
              </w:rPr>
            </w:pPr>
            <w:r w:rsidRPr="004A7F6D">
              <w:rPr>
                <w:rFonts w:ascii="Calibri" w:hAnsi="Calibri" w:cs="Calibri"/>
                <w:szCs w:val="16"/>
              </w:rPr>
              <w:t>T4850/1L</w:t>
            </w:r>
          </w:p>
        </w:tc>
        <w:tc>
          <w:tcPr>
            <w:tcW w:w="2430" w:type="dxa"/>
          </w:tcPr>
          <w:p w14:paraId="4461D2E2" w14:textId="138A7AC0" w:rsidR="00657214" w:rsidRPr="000C12F7" w:rsidRDefault="00657214" w:rsidP="00657214">
            <w:pPr>
              <w:rPr>
                <w:rFonts w:cstheme="minorHAnsi"/>
                <w:szCs w:val="16"/>
              </w:rPr>
            </w:pPr>
            <w:r w:rsidRPr="004A7F6D">
              <w:rPr>
                <w:rFonts w:ascii="Calibri" w:hAnsi="Calibri" w:cs="Calibri"/>
                <w:szCs w:val="16"/>
              </w:rPr>
              <w:t>T4800/2L</w:t>
            </w:r>
          </w:p>
        </w:tc>
      </w:tr>
      <w:tr w:rsidR="00657214" w14:paraId="3AFC01D8" w14:textId="16E2829E" w:rsidTr="009B572F">
        <w:tc>
          <w:tcPr>
            <w:tcW w:w="1530" w:type="dxa"/>
          </w:tcPr>
          <w:p w14:paraId="180D8E03" w14:textId="671A770F" w:rsidR="00657214" w:rsidRPr="000C12F7" w:rsidRDefault="00657214" w:rsidP="00657214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Size</w:t>
            </w:r>
            <w:r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2250" w:type="dxa"/>
          </w:tcPr>
          <w:p w14:paraId="5B0DC99A" w14:textId="4293C827" w:rsidR="00657214" w:rsidRPr="000C12F7" w:rsidRDefault="00657214" w:rsidP="00657214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 Liter</w:t>
            </w:r>
          </w:p>
        </w:tc>
        <w:tc>
          <w:tcPr>
            <w:tcW w:w="2430" w:type="dxa"/>
          </w:tcPr>
          <w:p w14:paraId="0AB9AB10" w14:textId="3A72670C" w:rsidR="00657214" w:rsidRPr="000C12F7" w:rsidRDefault="00657214" w:rsidP="00657214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 Liter</w:t>
            </w:r>
          </w:p>
        </w:tc>
      </w:tr>
      <w:tr w:rsidR="00657214" w14:paraId="715BFA6E" w14:textId="7BCFEDC5" w:rsidTr="009B572F">
        <w:tc>
          <w:tcPr>
            <w:tcW w:w="1530" w:type="dxa"/>
          </w:tcPr>
          <w:p w14:paraId="70DFA0B2" w14:textId="7D566B10" w:rsidR="00657214" w:rsidRPr="000C12F7" w:rsidRDefault="00657214" w:rsidP="00657214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Container</w:t>
            </w:r>
            <w:r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2250" w:type="dxa"/>
          </w:tcPr>
          <w:p w14:paraId="4E24B5B7" w14:textId="51E7F9E5" w:rsidR="00657214" w:rsidRPr="000C12F7" w:rsidRDefault="00657214" w:rsidP="00657214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 Liter Plastic Bottle</w:t>
            </w:r>
          </w:p>
        </w:tc>
        <w:tc>
          <w:tcPr>
            <w:tcW w:w="2430" w:type="dxa"/>
          </w:tcPr>
          <w:p w14:paraId="72E19746" w14:textId="4B6AAB6B" w:rsidR="00657214" w:rsidRPr="000C12F7" w:rsidRDefault="00657214" w:rsidP="00657214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 Liter Plastic Bottle</w:t>
            </w:r>
          </w:p>
        </w:tc>
      </w:tr>
      <w:tr w:rsidR="00657214" w14:paraId="1C074D25" w14:textId="157832EF" w:rsidTr="009B572F">
        <w:tc>
          <w:tcPr>
            <w:tcW w:w="1530" w:type="dxa"/>
          </w:tcPr>
          <w:p w14:paraId="70A33CB4" w14:textId="7756453D" w:rsidR="00657214" w:rsidRPr="000C12F7" w:rsidRDefault="00657214" w:rsidP="00657214">
            <w:pPr>
              <w:rPr>
                <w:rFonts w:cstheme="minorHAnsi"/>
                <w:b/>
                <w:bCs/>
                <w:szCs w:val="16"/>
              </w:rPr>
            </w:pPr>
            <w:r w:rsidRPr="000C12F7">
              <w:rPr>
                <w:rFonts w:cstheme="minorHAnsi"/>
                <w:b/>
                <w:bCs/>
                <w:szCs w:val="16"/>
              </w:rPr>
              <w:t>Packaging</w:t>
            </w:r>
            <w:r>
              <w:rPr>
                <w:rFonts w:cstheme="minorHAnsi"/>
                <w:b/>
                <w:bCs/>
                <w:szCs w:val="16"/>
              </w:rPr>
              <w:t>:</w:t>
            </w:r>
          </w:p>
        </w:tc>
        <w:tc>
          <w:tcPr>
            <w:tcW w:w="2250" w:type="dxa"/>
          </w:tcPr>
          <w:p w14:paraId="415CB136" w14:textId="563F10EB" w:rsidR="00657214" w:rsidRPr="000C12F7" w:rsidRDefault="00657214" w:rsidP="00657214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 bottles per case</w:t>
            </w:r>
          </w:p>
        </w:tc>
        <w:tc>
          <w:tcPr>
            <w:tcW w:w="2430" w:type="dxa"/>
          </w:tcPr>
          <w:p w14:paraId="3F46C9B9" w14:textId="4C78FA89" w:rsidR="00657214" w:rsidRPr="000C12F7" w:rsidRDefault="00657214" w:rsidP="00657214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 bottles per case</w:t>
            </w:r>
          </w:p>
        </w:tc>
      </w:tr>
    </w:tbl>
    <w:p w14:paraId="4C3F9864" w14:textId="668C0C63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4EBB7D8F" w14:textId="77777777" w:rsidR="008B5D40" w:rsidRPr="008B5D40" w:rsidRDefault="008B5D40" w:rsidP="008B5D40">
      <w:pPr>
        <w:rPr>
          <w:rFonts w:cstheme="minorHAnsi"/>
          <w:sz w:val="20"/>
          <w:szCs w:val="14"/>
        </w:rPr>
      </w:pPr>
    </w:p>
    <w:p w14:paraId="6AE59ACD" w14:textId="7B579558" w:rsidR="0093611E" w:rsidRPr="008B5D40" w:rsidRDefault="0093611E" w:rsidP="001E7A96">
      <w:pPr>
        <w:rPr>
          <w:rFonts w:cstheme="minorHAnsi"/>
          <w:sz w:val="20"/>
          <w:szCs w:val="14"/>
        </w:rPr>
      </w:pPr>
    </w:p>
    <w:sectPr w:rsidR="0093611E" w:rsidRPr="008B5D40" w:rsidSect="000736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9973" w14:textId="77777777" w:rsidR="00842542" w:rsidRDefault="00842542" w:rsidP="001E44CC">
      <w:pPr>
        <w:spacing w:after="0" w:line="240" w:lineRule="auto"/>
      </w:pPr>
      <w:r>
        <w:separator/>
      </w:r>
    </w:p>
  </w:endnote>
  <w:endnote w:type="continuationSeparator" w:id="0">
    <w:p w14:paraId="537F54BA" w14:textId="77777777" w:rsidR="00842542" w:rsidRDefault="00842542" w:rsidP="001E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3ABF" w14:textId="77777777" w:rsidR="00067808" w:rsidRDefault="0006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368D" w14:textId="08EEE645" w:rsidR="00073622" w:rsidRDefault="008B5D40" w:rsidP="001A626A">
    <w:pPr>
      <w:pStyle w:val="Footer"/>
      <w:rPr>
        <w:sz w:val="16"/>
        <w:szCs w:val="16"/>
      </w:rPr>
    </w:pPr>
    <w:r w:rsidRPr="008B5D40">
      <w:rPr>
        <w:sz w:val="16"/>
        <w:szCs w:val="16"/>
      </w:rPr>
      <w:t xml:space="preserve">The </w:t>
    </w:r>
    <w:r w:rsidRPr="008B5D40">
      <w:rPr>
        <w:i/>
        <w:sz w:val="16"/>
        <w:szCs w:val="16"/>
      </w:rPr>
      <w:t>PPG Logo</w:t>
    </w:r>
    <w:r w:rsidRPr="008B5D40">
      <w:rPr>
        <w:sz w:val="16"/>
        <w:szCs w:val="16"/>
      </w:rPr>
      <w:t xml:space="preserve"> and </w:t>
    </w:r>
    <w:r w:rsidR="00EC61A5">
      <w:rPr>
        <w:i/>
        <w:sz w:val="16"/>
        <w:szCs w:val="16"/>
      </w:rPr>
      <w:t>Envirobase</w:t>
    </w:r>
    <w:r w:rsidRPr="008B5D40">
      <w:rPr>
        <w:sz w:val="16"/>
        <w:szCs w:val="16"/>
      </w:rPr>
      <w:t xml:space="preserve"> are registered trademarks</w:t>
    </w:r>
    <w:r w:rsidR="000278A0">
      <w:rPr>
        <w:sz w:val="16"/>
        <w:szCs w:val="16"/>
      </w:rPr>
      <w:t xml:space="preserve">, and </w:t>
    </w:r>
    <w:r w:rsidR="003578B3">
      <w:rPr>
        <w:i/>
        <w:iCs/>
        <w:sz w:val="16"/>
        <w:szCs w:val="16"/>
      </w:rPr>
      <w:t>Envirobase</w:t>
    </w:r>
    <w:r w:rsidR="000278A0">
      <w:rPr>
        <w:sz w:val="16"/>
        <w:szCs w:val="16"/>
      </w:rPr>
      <w:t xml:space="preserve"> is a trademark</w:t>
    </w:r>
    <w:r w:rsidRPr="008B5D40">
      <w:rPr>
        <w:sz w:val="16"/>
        <w:szCs w:val="16"/>
      </w:rPr>
      <w:t xml:space="preserve"> of PPG Industries Ohio, Inc.</w:t>
    </w:r>
    <w:r>
      <w:rPr>
        <w:sz w:val="16"/>
        <w:szCs w:val="16"/>
      </w:rPr>
      <w:t xml:space="preserve"> © 202</w:t>
    </w:r>
    <w:r w:rsidR="002F7568">
      <w:rPr>
        <w:sz w:val="16"/>
        <w:szCs w:val="16"/>
      </w:rPr>
      <w:t>4</w:t>
    </w:r>
    <w:r w:rsidR="001A626A">
      <w:rPr>
        <w:sz w:val="16"/>
        <w:szCs w:val="16"/>
      </w:rPr>
      <w:t xml:space="preserve"> PPG Industries, Inc. All rights reserved. </w:t>
    </w:r>
    <w:hyperlink r:id="rId1" w:history="1">
      <w:r w:rsidR="001A626A">
        <w:rPr>
          <w:rStyle w:val="Hyperlink"/>
          <w:sz w:val="16"/>
          <w:szCs w:val="16"/>
        </w:rPr>
        <w:t>www.ppgrefinish.com</w:t>
      </w:r>
    </w:hyperlink>
    <w:r w:rsidR="00073622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D72A" w14:textId="77777777" w:rsidR="00067808" w:rsidRDefault="0006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C22B" w14:textId="77777777" w:rsidR="00842542" w:rsidRDefault="00842542" w:rsidP="001E44CC">
      <w:pPr>
        <w:spacing w:after="0" w:line="240" w:lineRule="auto"/>
      </w:pPr>
      <w:r>
        <w:separator/>
      </w:r>
    </w:p>
  </w:footnote>
  <w:footnote w:type="continuationSeparator" w:id="0">
    <w:p w14:paraId="62A202F1" w14:textId="77777777" w:rsidR="00842542" w:rsidRDefault="00842542" w:rsidP="001E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265B" w14:textId="77777777" w:rsidR="00067808" w:rsidRDefault="00067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D1AB" w14:textId="329D35D8" w:rsidR="00FF2457" w:rsidRDefault="00322252" w:rsidP="00FF2457">
    <w:pPr>
      <w:pStyle w:val="Header"/>
      <w:rPr>
        <w:noProof/>
      </w:rPr>
    </w:pPr>
    <w:r>
      <w:rPr>
        <w:noProof/>
      </w:rPr>
      <w:t xml:space="preserve">             </w:t>
    </w:r>
  </w:p>
  <w:p w14:paraId="260ADC51" w14:textId="680F7532" w:rsidR="00FE0304" w:rsidRDefault="00FF2457" w:rsidP="00BA09DB">
    <w:pPr>
      <w:pStyle w:val="Header"/>
    </w:pPr>
    <w:r>
      <w:rPr>
        <w:noProof/>
      </w:rPr>
      <w:drawing>
        <wp:inline distT="0" distB="0" distL="0" distR="0" wp14:anchorId="1D2EF118" wp14:editId="0ECB1C45">
          <wp:extent cx="6851650" cy="711200"/>
          <wp:effectExtent l="0" t="0" r="6350" b="0"/>
          <wp:docPr id="1364842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5B53D" w14:textId="77777777" w:rsidR="00DF0E2B" w:rsidRDefault="00DF0E2B" w:rsidP="00E37A27">
    <w:pPr>
      <w:pStyle w:val="Header"/>
      <w:rPr>
        <w:noProof/>
      </w:rPr>
    </w:pPr>
  </w:p>
  <w:p w14:paraId="02B1E5EF" w14:textId="4AF3870C" w:rsidR="00DF0E2B" w:rsidRDefault="00DF0E2B" w:rsidP="00505669">
    <w:pPr>
      <w:pStyle w:val="Header"/>
      <w:ind w:left="-270"/>
      <w:rPr>
        <w:noProof/>
      </w:rPr>
    </w:pPr>
    <w:r>
      <w:rPr>
        <w:rFonts w:cstheme="minorHAnsi"/>
        <w:b/>
        <w:sz w:val="32"/>
        <w:szCs w:val="32"/>
      </w:rPr>
      <w:t xml:space="preserve">    New Product Announcement - SHOP</w:t>
    </w:r>
  </w:p>
  <w:p w14:paraId="706FA2F3" w14:textId="4032C8F8" w:rsidR="00FC2AE1" w:rsidRPr="001E44CC" w:rsidRDefault="008B5D40" w:rsidP="005046B8">
    <w:pPr>
      <w:pStyle w:val="Header"/>
      <w:ind w:left="-270"/>
      <w:rPr>
        <w:noProof/>
      </w:rPr>
    </w:pPr>
    <w:r>
      <w:rPr>
        <w:noProof/>
      </w:rPr>
      <w:t xml:space="preserve">   </w:t>
    </w:r>
    <w:r w:rsidR="00FC2AE1">
      <w:rPr>
        <w:noProof/>
      </w:rPr>
      <w:t xml:space="preserve"> </w:t>
    </w:r>
    <w:r w:rsidR="00FC2AE1">
      <w:rPr>
        <w:noProof/>
      </w:rPr>
      <w:drawing>
        <wp:inline distT="0" distB="0" distL="0" distR="0" wp14:anchorId="39F791FC" wp14:editId="66368EF7">
          <wp:extent cx="1967275" cy="949325"/>
          <wp:effectExtent l="0" t="0" r="0" b="3175"/>
          <wp:docPr id="1027522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165" cy="983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C9C4" w14:textId="77777777" w:rsidR="00067808" w:rsidRDefault="0006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9782A"/>
    <w:multiLevelType w:val="hybridMultilevel"/>
    <w:tmpl w:val="0BBE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7286E"/>
    <w:multiLevelType w:val="hybridMultilevel"/>
    <w:tmpl w:val="839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7B01"/>
    <w:multiLevelType w:val="hybridMultilevel"/>
    <w:tmpl w:val="C88A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2173">
    <w:abstractNumId w:val="2"/>
  </w:num>
  <w:num w:numId="2" w16cid:durableId="233322581">
    <w:abstractNumId w:val="0"/>
  </w:num>
  <w:num w:numId="3" w16cid:durableId="38522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50"/>
    <w:rsid w:val="00001281"/>
    <w:rsid w:val="0000652C"/>
    <w:rsid w:val="000145AC"/>
    <w:rsid w:val="00020D3E"/>
    <w:rsid w:val="000278A0"/>
    <w:rsid w:val="00030C02"/>
    <w:rsid w:val="00034C78"/>
    <w:rsid w:val="000352D1"/>
    <w:rsid w:val="0004512B"/>
    <w:rsid w:val="0006598F"/>
    <w:rsid w:val="00067808"/>
    <w:rsid w:val="00073622"/>
    <w:rsid w:val="000900E6"/>
    <w:rsid w:val="000A5870"/>
    <w:rsid w:val="000B1937"/>
    <w:rsid w:val="000C12F7"/>
    <w:rsid w:val="000C7E3A"/>
    <w:rsid w:val="000D0128"/>
    <w:rsid w:val="001259C4"/>
    <w:rsid w:val="00137A78"/>
    <w:rsid w:val="00140C2C"/>
    <w:rsid w:val="001A626A"/>
    <w:rsid w:val="001E44CC"/>
    <w:rsid w:val="001E7A96"/>
    <w:rsid w:val="001F0649"/>
    <w:rsid w:val="00205C8C"/>
    <w:rsid w:val="0023380F"/>
    <w:rsid w:val="0024563F"/>
    <w:rsid w:val="0024599E"/>
    <w:rsid w:val="00255881"/>
    <w:rsid w:val="002C1031"/>
    <w:rsid w:val="002D41E5"/>
    <w:rsid w:val="002E576C"/>
    <w:rsid w:val="002E728A"/>
    <w:rsid w:val="002F7496"/>
    <w:rsid w:val="002F7568"/>
    <w:rsid w:val="00302D1F"/>
    <w:rsid w:val="00322252"/>
    <w:rsid w:val="00340D46"/>
    <w:rsid w:val="003465A0"/>
    <w:rsid w:val="003578B3"/>
    <w:rsid w:val="003645C3"/>
    <w:rsid w:val="003B41FD"/>
    <w:rsid w:val="003C1503"/>
    <w:rsid w:val="003F1B97"/>
    <w:rsid w:val="00440C2E"/>
    <w:rsid w:val="00441233"/>
    <w:rsid w:val="00446615"/>
    <w:rsid w:val="0047252C"/>
    <w:rsid w:val="00496758"/>
    <w:rsid w:val="004C5B46"/>
    <w:rsid w:val="004D5E6B"/>
    <w:rsid w:val="004E2193"/>
    <w:rsid w:val="004E6E87"/>
    <w:rsid w:val="004F6837"/>
    <w:rsid w:val="005046B8"/>
    <w:rsid w:val="00505669"/>
    <w:rsid w:val="0055411B"/>
    <w:rsid w:val="005639C0"/>
    <w:rsid w:val="00576208"/>
    <w:rsid w:val="00583784"/>
    <w:rsid w:val="00591A48"/>
    <w:rsid w:val="005C0E50"/>
    <w:rsid w:val="005C532E"/>
    <w:rsid w:val="005E12D1"/>
    <w:rsid w:val="006007D8"/>
    <w:rsid w:val="00611E4A"/>
    <w:rsid w:val="00613C80"/>
    <w:rsid w:val="00623459"/>
    <w:rsid w:val="00654535"/>
    <w:rsid w:val="00657214"/>
    <w:rsid w:val="00664C88"/>
    <w:rsid w:val="006730CB"/>
    <w:rsid w:val="00696D05"/>
    <w:rsid w:val="006A6321"/>
    <w:rsid w:val="006B2650"/>
    <w:rsid w:val="006E3C7A"/>
    <w:rsid w:val="00702667"/>
    <w:rsid w:val="00746A47"/>
    <w:rsid w:val="00794E5A"/>
    <w:rsid w:val="007D0AA0"/>
    <w:rsid w:val="007D2CA6"/>
    <w:rsid w:val="007E2DBE"/>
    <w:rsid w:val="008042D8"/>
    <w:rsid w:val="008141EE"/>
    <w:rsid w:val="00842542"/>
    <w:rsid w:val="00861BB9"/>
    <w:rsid w:val="00875A1F"/>
    <w:rsid w:val="008B5D40"/>
    <w:rsid w:val="008C502E"/>
    <w:rsid w:val="008D5278"/>
    <w:rsid w:val="008E6993"/>
    <w:rsid w:val="008F202C"/>
    <w:rsid w:val="008F3B4E"/>
    <w:rsid w:val="0093611E"/>
    <w:rsid w:val="00945A70"/>
    <w:rsid w:val="00955EB2"/>
    <w:rsid w:val="009840C7"/>
    <w:rsid w:val="009902A2"/>
    <w:rsid w:val="0099106A"/>
    <w:rsid w:val="00993979"/>
    <w:rsid w:val="009939E7"/>
    <w:rsid w:val="00995B86"/>
    <w:rsid w:val="009B572F"/>
    <w:rsid w:val="009F0EB5"/>
    <w:rsid w:val="00A2627B"/>
    <w:rsid w:val="00A5208C"/>
    <w:rsid w:val="00A85809"/>
    <w:rsid w:val="00AE654D"/>
    <w:rsid w:val="00AF456F"/>
    <w:rsid w:val="00B03384"/>
    <w:rsid w:val="00B06170"/>
    <w:rsid w:val="00B819E5"/>
    <w:rsid w:val="00B93C3A"/>
    <w:rsid w:val="00BA09DB"/>
    <w:rsid w:val="00BA5B41"/>
    <w:rsid w:val="00BF0F03"/>
    <w:rsid w:val="00BF24F7"/>
    <w:rsid w:val="00BF3666"/>
    <w:rsid w:val="00C12B76"/>
    <w:rsid w:val="00C36F20"/>
    <w:rsid w:val="00C50F05"/>
    <w:rsid w:val="00C620A6"/>
    <w:rsid w:val="00C627BC"/>
    <w:rsid w:val="00C8656E"/>
    <w:rsid w:val="00C96F6F"/>
    <w:rsid w:val="00D01F60"/>
    <w:rsid w:val="00D504D3"/>
    <w:rsid w:val="00DA472A"/>
    <w:rsid w:val="00DD787F"/>
    <w:rsid w:val="00DE1D65"/>
    <w:rsid w:val="00DE3A33"/>
    <w:rsid w:val="00DF0E2B"/>
    <w:rsid w:val="00DF4C90"/>
    <w:rsid w:val="00DF7A1C"/>
    <w:rsid w:val="00E37A27"/>
    <w:rsid w:val="00E51B83"/>
    <w:rsid w:val="00E57FF1"/>
    <w:rsid w:val="00E85B25"/>
    <w:rsid w:val="00E93024"/>
    <w:rsid w:val="00EA001B"/>
    <w:rsid w:val="00EA69CA"/>
    <w:rsid w:val="00EC61A5"/>
    <w:rsid w:val="00EE219D"/>
    <w:rsid w:val="00EE3F53"/>
    <w:rsid w:val="00EF07BA"/>
    <w:rsid w:val="00F11408"/>
    <w:rsid w:val="00F12C67"/>
    <w:rsid w:val="00F320C3"/>
    <w:rsid w:val="00F32D69"/>
    <w:rsid w:val="00F443C3"/>
    <w:rsid w:val="00F70A11"/>
    <w:rsid w:val="00F77927"/>
    <w:rsid w:val="00F85A45"/>
    <w:rsid w:val="00FA1F13"/>
    <w:rsid w:val="00FB26D1"/>
    <w:rsid w:val="00FC2AE1"/>
    <w:rsid w:val="00FE0304"/>
    <w:rsid w:val="00FE746D"/>
    <w:rsid w:val="00FF245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36946"/>
  <w15:docId w15:val="{21CA9EEA-A1A7-42D3-A21F-6495C97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CC"/>
  </w:style>
  <w:style w:type="paragraph" w:styleId="Footer">
    <w:name w:val="footer"/>
    <w:basedOn w:val="Normal"/>
    <w:link w:val="FooterChar"/>
    <w:uiPriority w:val="99"/>
    <w:unhideWhenUsed/>
    <w:rsid w:val="001E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CC"/>
  </w:style>
  <w:style w:type="paragraph" w:styleId="BalloonText">
    <w:name w:val="Balloon Text"/>
    <w:basedOn w:val="Normal"/>
    <w:link w:val="BalloonTextChar"/>
    <w:uiPriority w:val="99"/>
    <w:semiHidden/>
    <w:unhideWhenUsed/>
    <w:rsid w:val="001E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0145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</w:rPr>
  </w:style>
  <w:style w:type="character" w:customStyle="1" w:styleId="bold">
    <w:name w:val="bold"/>
    <w:rsid w:val="000145AC"/>
    <w:rPr>
      <w:rFonts w:ascii="Arial-BoldMT" w:hAnsi="Arial-BoldMT" w:cs="Arial-BoldMT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2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62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3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gindustriesinc.sharepoint.com/:x:/r/sites/ENV3-Project-Team-O365GL/_layouts/15/Doc.aspx?sourcedoc=%7B303D3611-FAA8-4301-9769-893EB2C35E2E%7D&amp;file=4850.xlsx&amp;wdLOR=c055190D5-396D-46EF-AB2B-78EBADDAFF79&amp;action=default&amp;mobileredirect=tru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refinish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3104\Desktop\Product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AC2C-7D0F-4F2A-BCEA-BB66AB29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ProductAnnouncement.dotx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Ross</dc:creator>
  <cp:lastModifiedBy>Staufer, Angie</cp:lastModifiedBy>
  <cp:revision>29</cp:revision>
  <dcterms:created xsi:type="dcterms:W3CDTF">2024-07-18T13:12:00Z</dcterms:created>
  <dcterms:modified xsi:type="dcterms:W3CDTF">2024-07-19T17:05:00Z</dcterms:modified>
</cp:coreProperties>
</file>